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66" w:rsidRDefault="00355B66" w:rsidP="00355B66">
      <w:pPr>
        <w:pStyle w:val="Heading1"/>
        <w:shd w:val="clear" w:color="auto" w:fill="FFFFFF"/>
        <w:spacing w:before="0" w:after="300" w:line="240" w:lineRule="atLeast"/>
        <w:textAlignment w:val="baseline"/>
        <w:rPr>
          <w:rFonts w:ascii="Arial Black" w:hAnsi="Arial Black"/>
          <w:color w:val="283A97"/>
          <w:spacing w:val="-12"/>
          <w:sz w:val="60"/>
          <w:szCs w:val="60"/>
        </w:rPr>
      </w:pPr>
      <w:r>
        <w:rPr>
          <w:rFonts w:ascii="Arial Black" w:hAnsi="Arial Black"/>
          <w:color w:val="283A97"/>
          <w:spacing w:val="-12"/>
          <w:sz w:val="60"/>
          <w:szCs w:val="60"/>
        </w:rPr>
        <w:t>LPN Placement Rate Methodology</w:t>
      </w:r>
    </w:p>
    <w:p w:rsidR="00355B66" w:rsidRPr="004A0DF4" w:rsidRDefault="00355B66" w:rsidP="00355B66">
      <w:pPr>
        <w:shd w:val="clear" w:color="auto" w:fill="FFFFFF"/>
        <w:spacing w:after="30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pacing w:val="-12"/>
          <w:sz w:val="34"/>
          <w:szCs w:val="34"/>
        </w:rPr>
      </w:pPr>
      <w:bookmarkStart w:id="0" w:name="_GoBack"/>
      <w:bookmarkEnd w:id="0"/>
      <w:r w:rsidRPr="004A0DF4">
        <w:rPr>
          <w:rFonts w:ascii="Arial" w:eastAsia="Times New Roman" w:hAnsi="Arial" w:cs="Arial"/>
          <w:b/>
          <w:bCs/>
          <w:color w:val="111111"/>
          <w:spacing w:val="-12"/>
          <w:sz w:val="34"/>
          <w:szCs w:val="34"/>
        </w:rPr>
        <w:t xml:space="preserve">Name of the </w:t>
      </w:r>
      <w:r>
        <w:rPr>
          <w:rFonts w:ascii="Arial" w:eastAsia="Times New Roman" w:hAnsi="Arial" w:cs="Arial"/>
          <w:b/>
          <w:bCs/>
          <w:color w:val="111111"/>
          <w:spacing w:val="-12"/>
          <w:sz w:val="34"/>
          <w:szCs w:val="34"/>
        </w:rPr>
        <w:t xml:space="preserve">state </w:t>
      </w:r>
      <w:r w:rsidRPr="004A0DF4">
        <w:rPr>
          <w:rFonts w:ascii="Arial" w:eastAsia="Times New Roman" w:hAnsi="Arial" w:cs="Arial"/>
          <w:b/>
          <w:bCs/>
          <w:color w:val="111111"/>
          <w:spacing w:val="-12"/>
          <w:sz w:val="34"/>
          <w:szCs w:val="34"/>
        </w:rPr>
        <w:t>this placement rate is calculated for:</w:t>
      </w:r>
    </w:p>
    <w:p w:rsidR="00355B66" w:rsidRPr="004A0DF4" w:rsidRDefault="00355B66" w:rsidP="00355B6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D24AC7">
        <w:rPr>
          <w:rFonts w:ascii="Arial" w:eastAsia="Times New Roman" w:hAnsi="Arial" w:cs="Arial"/>
          <w:color w:val="333333"/>
          <w:sz w:val="24"/>
          <w:szCs w:val="24"/>
        </w:rPr>
        <w:t>Kansas</w:t>
      </w:r>
    </w:p>
    <w:p w:rsidR="00355B66" w:rsidRPr="004A0DF4" w:rsidRDefault="00355B66" w:rsidP="00355B66">
      <w:pPr>
        <w:shd w:val="clear" w:color="auto" w:fill="FFFFFF"/>
        <w:spacing w:after="30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pacing w:val="-12"/>
          <w:sz w:val="34"/>
          <w:szCs w:val="34"/>
        </w:rPr>
      </w:pPr>
      <w:r w:rsidRPr="004A0DF4">
        <w:rPr>
          <w:rFonts w:ascii="Arial" w:eastAsia="Times New Roman" w:hAnsi="Arial" w:cs="Arial"/>
          <w:b/>
          <w:bCs/>
          <w:color w:val="111111"/>
          <w:spacing w:val="-12"/>
          <w:sz w:val="34"/>
          <w:szCs w:val="34"/>
        </w:rPr>
        <w:t>Who is included in the calculation of this rate?</w:t>
      </w:r>
    </w:p>
    <w:p w:rsidR="00355B66" w:rsidRPr="004A0DF4" w:rsidRDefault="00355B66" w:rsidP="00355B6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</w:t>
      </w:r>
      <w:r w:rsidRPr="004A0DF4">
        <w:rPr>
          <w:rFonts w:ascii="Arial" w:eastAsia="Times New Roman" w:hAnsi="Arial" w:cs="Arial"/>
          <w:color w:val="333333"/>
          <w:sz w:val="24"/>
          <w:szCs w:val="24"/>
        </w:rPr>
        <w:t xml:space="preserve">he required reporting time frame is based on start date cohorts between </w:t>
      </w:r>
      <w:r>
        <w:rPr>
          <w:rFonts w:ascii="Arial" w:eastAsia="Times New Roman" w:hAnsi="Arial" w:cs="Arial"/>
          <w:color w:val="333333"/>
          <w:sz w:val="24"/>
          <w:szCs w:val="24"/>
        </w:rPr>
        <w:t>July 1,</w:t>
      </w:r>
      <w:r w:rsidRPr="004A0DF4">
        <w:rPr>
          <w:rFonts w:ascii="Arial" w:eastAsia="Times New Roman" w:hAnsi="Arial" w:cs="Arial"/>
          <w:color w:val="333333"/>
          <w:sz w:val="24"/>
          <w:szCs w:val="24"/>
        </w:rPr>
        <w:t xml:space="preserve"> 2014 and </w:t>
      </w:r>
      <w:r>
        <w:rPr>
          <w:rFonts w:ascii="Arial" w:eastAsia="Times New Roman" w:hAnsi="Arial" w:cs="Arial"/>
          <w:color w:val="333333"/>
          <w:sz w:val="24"/>
          <w:szCs w:val="24"/>
        </w:rPr>
        <w:t>June 30,</w:t>
      </w:r>
      <w:r w:rsidRPr="004A0DF4">
        <w:rPr>
          <w:rFonts w:ascii="Arial" w:eastAsia="Times New Roman" w:hAnsi="Arial" w:cs="Arial"/>
          <w:color w:val="333333"/>
          <w:sz w:val="24"/>
          <w:szCs w:val="24"/>
        </w:rPr>
        <w:t xml:space="preserve"> 2015.</w:t>
      </w:r>
    </w:p>
    <w:p w:rsidR="00355B66" w:rsidRPr="004A0DF4" w:rsidRDefault="00355B66" w:rsidP="00355B66">
      <w:pPr>
        <w:shd w:val="clear" w:color="auto" w:fill="FFFFFF"/>
        <w:spacing w:after="30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pacing w:val="-12"/>
          <w:sz w:val="34"/>
          <w:szCs w:val="34"/>
        </w:rPr>
      </w:pPr>
      <w:r w:rsidRPr="004A0DF4">
        <w:rPr>
          <w:rFonts w:ascii="Arial" w:eastAsia="Times New Roman" w:hAnsi="Arial" w:cs="Arial"/>
          <w:b/>
          <w:bCs/>
          <w:color w:val="111111"/>
          <w:spacing w:val="-12"/>
          <w:sz w:val="34"/>
          <w:szCs w:val="34"/>
        </w:rPr>
        <w:t>What types of jobs were these students placed in?</w:t>
      </w:r>
    </w:p>
    <w:p w:rsidR="00355B66" w:rsidRPr="004A0DF4" w:rsidRDefault="00355B66" w:rsidP="00355B6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A0DF4">
        <w:rPr>
          <w:rFonts w:ascii="Arial" w:eastAsia="Times New Roman" w:hAnsi="Arial" w:cs="Arial"/>
          <w:color w:val="333333"/>
          <w:sz w:val="24"/>
          <w:szCs w:val="24"/>
        </w:rPr>
        <w:t xml:space="preserve">The job placement rate includes completers hired for:  </w:t>
      </w:r>
      <w:r>
        <w:rPr>
          <w:rFonts w:ascii="Arial" w:eastAsia="Times New Roman" w:hAnsi="Arial" w:cs="Arial"/>
          <w:color w:val="333333"/>
          <w:sz w:val="24"/>
          <w:szCs w:val="24"/>
        </w:rPr>
        <w:t>Licensed Practical Nursi</w:t>
      </w:r>
      <w:r w:rsidRPr="00D24AC7">
        <w:rPr>
          <w:rFonts w:ascii="Arial" w:eastAsia="Times New Roman" w:hAnsi="Arial" w:cs="Arial"/>
          <w:color w:val="333333"/>
          <w:sz w:val="24"/>
          <w:szCs w:val="24"/>
        </w:rPr>
        <w:t>ng and related health fields.</w:t>
      </w:r>
    </w:p>
    <w:p w:rsidR="00355B66" w:rsidRPr="004A0DF4" w:rsidRDefault="00355B66" w:rsidP="00355B66">
      <w:pPr>
        <w:shd w:val="clear" w:color="auto" w:fill="FFFFFF"/>
        <w:spacing w:after="30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pacing w:val="-12"/>
          <w:sz w:val="34"/>
          <w:szCs w:val="34"/>
        </w:rPr>
      </w:pPr>
      <w:r w:rsidRPr="004A0DF4">
        <w:rPr>
          <w:rFonts w:ascii="Arial" w:eastAsia="Times New Roman" w:hAnsi="Arial" w:cs="Arial"/>
          <w:b/>
          <w:bCs/>
          <w:color w:val="111111"/>
          <w:spacing w:val="-12"/>
          <w:sz w:val="34"/>
          <w:szCs w:val="34"/>
        </w:rPr>
        <w:t>When were the former students employed?</w:t>
      </w:r>
    </w:p>
    <w:p w:rsidR="00355B66" w:rsidRPr="006D5F30" w:rsidRDefault="00355B66" w:rsidP="00355B6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A0DF4">
        <w:rPr>
          <w:rFonts w:ascii="Arial" w:eastAsia="Times New Roman" w:hAnsi="Arial" w:cs="Arial"/>
          <w:color w:val="333333"/>
          <w:sz w:val="24"/>
          <w:szCs w:val="24"/>
        </w:rPr>
        <w:t xml:space="preserve">This report tracks employment for students employed between </w:t>
      </w:r>
      <w:r>
        <w:rPr>
          <w:rFonts w:ascii="Arial" w:eastAsia="Times New Roman" w:hAnsi="Arial" w:cs="Arial"/>
          <w:color w:val="333333"/>
          <w:sz w:val="24"/>
          <w:szCs w:val="24"/>
        </w:rPr>
        <w:t>J</w:t>
      </w:r>
      <w:r w:rsidRPr="00D24AC7">
        <w:rPr>
          <w:rFonts w:ascii="Arial" w:eastAsia="Times New Roman" w:hAnsi="Arial" w:cs="Arial"/>
          <w:color w:val="333333"/>
          <w:sz w:val="24"/>
          <w:szCs w:val="24"/>
        </w:rPr>
        <w:t xml:space="preserve">anuary, </w:t>
      </w:r>
      <w:proofErr w:type="gramStart"/>
      <w:r w:rsidRPr="00D24AC7">
        <w:rPr>
          <w:rFonts w:ascii="Arial" w:eastAsia="Times New Roman" w:hAnsi="Arial" w:cs="Arial"/>
          <w:color w:val="333333"/>
          <w:sz w:val="24"/>
          <w:szCs w:val="24"/>
        </w:rPr>
        <w:t>2016  through</w:t>
      </w:r>
      <w:proofErr w:type="gramEnd"/>
      <w:r w:rsidRPr="00D24AC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D5F30">
        <w:rPr>
          <w:rFonts w:ascii="Arial" w:eastAsia="Times New Roman" w:hAnsi="Arial" w:cs="Arial"/>
          <w:color w:val="333333"/>
          <w:sz w:val="24"/>
          <w:szCs w:val="24"/>
        </w:rPr>
        <w:t>December, 2017.</w:t>
      </w:r>
    </w:p>
    <w:p w:rsidR="00355B66" w:rsidRPr="006D5F30" w:rsidRDefault="00355B66" w:rsidP="00355B66">
      <w:pPr>
        <w:shd w:val="clear" w:color="auto" w:fill="FFFFFF"/>
        <w:spacing w:after="30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pacing w:val="-12"/>
          <w:sz w:val="34"/>
          <w:szCs w:val="34"/>
        </w:rPr>
      </w:pPr>
      <w:r w:rsidRPr="006D5F30">
        <w:rPr>
          <w:rFonts w:ascii="Arial" w:eastAsia="Times New Roman" w:hAnsi="Arial" w:cs="Arial"/>
          <w:b/>
          <w:bCs/>
          <w:color w:val="111111"/>
          <w:spacing w:val="-12"/>
          <w:sz w:val="34"/>
          <w:szCs w:val="34"/>
        </w:rPr>
        <w:t>How were completers tracked?</w:t>
      </w:r>
    </w:p>
    <w:p w:rsidR="00355B66" w:rsidRPr="004A0DF4" w:rsidRDefault="00355B66" w:rsidP="00355B6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D5F30">
        <w:rPr>
          <w:rFonts w:ascii="Arial" w:eastAsia="Times New Roman" w:hAnsi="Arial" w:cs="Arial"/>
          <w:color w:val="333333"/>
          <w:sz w:val="24"/>
          <w:szCs w:val="24"/>
        </w:rPr>
        <w:t>The employment verification is conducted via post-graduate survey by the Nursing Department Staff.</w:t>
      </w:r>
    </w:p>
    <w:p w:rsidR="00355B66" w:rsidRPr="004A0DF4" w:rsidRDefault="00355B66" w:rsidP="00355B66">
      <w:pPr>
        <w:shd w:val="clear" w:color="auto" w:fill="FFFFFF"/>
        <w:spacing w:after="30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pacing w:val="-12"/>
          <w:sz w:val="34"/>
          <w:szCs w:val="34"/>
        </w:rPr>
      </w:pPr>
      <w:r w:rsidRPr="004A0DF4">
        <w:rPr>
          <w:rFonts w:ascii="Arial" w:eastAsia="Times New Roman" w:hAnsi="Arial" w:cs="Arial"/>
          <w:b/>
          <w:bCs/>
          <w:color w:val="111111"/>
          <w:spacing w:val="-12"/>
          <w:sz w:val="34"/>
          <w:szCs w:val="34"/>
        </w:rPr>
        <w:t>Who was excluded from the placement calculations?</w:t>
      </w:r>
    </w:p>
    <w:p w:rsidR="00355B66" w:rsidRPr="004A0DF4" w:rsidRDefault="00355B66" w:rsidP="00355B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4A0DF4">
        <w:rPr>
          <w:rFonts w:ascii="Arial" w:eastAsia="Times New Roman" w:hAnsi="Arial" w:cs="Arial"/>
          <w:color w:val="333333"/>
          <w:sz w:val="24"/>
          <w:szCs w:val="24"/>
        </w:rPr>
        <w:t xml:space="preserve">The definition of “Unavailable for Employment” (exclusions) is as follows for graduates:   death, incarceration, active military service deployment,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continuing postsecondary education, </w:t>
      </w:r>
      <w:r w:rsidRPr="004A0DF4">
        <w:rPr>
          <w:rFonts w:ascii="Arial" w:eastAsia="Times New Roman" w:hAnsi="Arial" w:cs="Arial"/>
          <w:color w:val="333333"/>
          <w:sz w:val="24"/>
          <w:szCs w:val="24"/>
        </w:rPr>
        <w:t>the onset of a medical condition that prevents employment, or international students who have returned to their country of origin.</w:t>
      </w:r>
      <w:r w:rsidRPr="00B55CA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4A0DF4">
        <w:rPr>
          <w:rFonts w:ascii="Arial" w:eastAsia="Times New Roman" w:hAnsi="Arial" w:cs="Arial"/>
          <w:color w:val="333333"/>
          <w:sz w:val="24"/>
          <w:szCs w:val="24"/>
        </w:rPr>
        <w:t xml:space="preserve">This category removes graduates who fall into one of the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listed </w:t>
      </w:r>
      <w:r w:rsidRPr="004A0DF4">
        <w:rPr>
          <w:rFonts w:ascii="Arial" w:eastAsia="Times New Roman" w:hAnsi="Arial" w:cs="Arial"/>
          <w:color w:val="333333"/>
          <w:sz w:val="24"/>
          <w:szCs w:val="24"/>
        </w:rPr>
        <w:t>categories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4A0DF4">
        <w:rPr>
          <w:rFonts w:ascii="Arial" w:eastAsia="Times New Roman" w:hAnsi="Arial" w:cs="Arial"/>
          <w:color w:val="333333"/>
          <w:sz w:val="24"/>
          <w:szCs w:val="24"/>
        </w:rPr>
        <w:t>from the graduation rate calculation</w:t>
      </w:r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A82ED8" w:rsidRDefault="00A82ED8"/>
    <w:sectPr w:rsidR="00A82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5B66"/>
    <w:rsid w:val="00355B66"/>
    <w:rsid w:val="00A82ED8"/>
    <w:rsid w:val="00C758C6"/>
    <w:rsid w:val="00CC38B2"/>
    <w:rsid w:val="00E02B58"/>
    <w:rsid w:val="00F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6CE68-825F-4999-AE2B-B5444C4B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B66"/>
  </w:style>
  <w:style w:type="paragraph" w:styleId="Heading1">
    <w:name w:val="heading 1"/>
    <w:basedOn w:val="Normal"/>
    <w:next w:val="Normal"/>
    <w:link w:val="Heading1Char"/>
    <w:uiPriority w:val="9"/>
    <w:qFormat/>
    <w:rsid w:val="00355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B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57954813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Pepple</dc:creator>
  <cp:keywords/>
  <dc:description/>
  <cp:lastModifiedBy>Michael Pepple</cp:lastModifiedBy>
  <cp:revision>1</cp:revision>
  <dcterms:created xsi:type="dcterms:W3CDTF">2018-08-17T19:28:00Z</dcterms:created>
  <dcterms:modified xsi:type="dcterms:W3CDTF">2018-08-17T19:30:00Z</dcterms:modified>
</cp:coreProperties>
</file>